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E0E6" w14:textId="0D8E59D0" w:rsidR="00FF655F" w:rsidRPr="00FF655F" w:rsidRDefault="00FF655F" w:rsidP="00FF655F">
      <w:pPr>
        <w:jc w:val="center"/>
        <w:rPr>
          <w:rFonts w:ascii="Times New Roman" w:hAnsi="Times New Roman" w:cs="Times New Roman"/>
          <w:b/>
          <w:sz w:val="24"/>
          <w:szCs w:val="24"/>
        </w:rPr>
      </w:pPr>
      <w:r w:rsidRPr="00FF655F">
        <w:rPr>
          <w:rFonts w:ascii="Times New Roman" w:hAnsi="Times New Roman" w:cs="Times New Roman"/>
          <w:b/>
          <w:sz w:val="24"/>
          <w:szCs w:val="24"/>
        </w:rPr>
        <w:t>RESOLUTION 2019-9</w:t>
      </w:r>
      <w:r w:rsidRPr="00FF655F">
        <w:rPr>
          <w:rFonts w:ascii="Times New Roman" w:hAnsi="Times New Roman" w:cs="Times New Roman"/>
          <w:b/>
          <w:sz w:val="24"/>
          <w:szCs w:val="24"/>
        </w:rPr>
        <w:t>5</w:t>
      </w:r>
    </w:p>
    <w:p w14:paraId="53DE9A8B" w14:textId="77777777" w:rsidR="00FF655F" w:rsidRDefault="00FF655F" w:rsidP="00FF655F">
      <w:pPr>
        <w:jc w:val="center"/>
        <w:rPr>
          <w:rFonts w:ascii="Times New Roman" w:hAnsi="Times New Roman" w:cs="Times New Roman"/>
        </w:rPr>
      </w:pPr>
      <w:r>
        <w:rPr>
          <w:rFonts w:ascii="Times New Roman" w:hAnsi="Times New Roman" w:cs="Times New Roman"/>
        </w:rPr>
        <w:t>THE VALLEY</w:t>
      </w:r>
      <w:bookmarkStart w:id="0" w:name="_GoBack"/>
      <w:bookmarkEnd w:id="0"/>
      <w:r>
        <w:rPr>
          <w:rFonts w:ascii="Times New Roman" w:hAnsi="Times New Roman" w:cs="Times New Roman"/>
        </w:rPr>
        <w:t xml:space="preserve"> GRANDE CITY COUNCIL</w:t>
      </w:r>
    </w:p>
    <w:p w14:paraId="2B6F5261" w14:textId="2D396957" w:rsidR="00E73ED0" w:rsidRDefault="00B96284"/>
    <w:p w14:paraId="03E190D8" w14:textId="77777777" w:rsidR="00FF655F" w:rsidRPr="00FF655F" w:rsidRDefault="00FF655F" w:rsidP="00FF655F">
      <w:pPr>
        <w:pStyle w:val="BodyText"/>
        <w:spacing w:line="360" w:lineRule="auto"/>
      </w:pPr>
      <w:r w:rsidRPr="00FF655F">
        <w:rPr>
          <w:b/>
        </w:rPr>
        <w:t xml:space="preserve">BE IT RESOLVED </w:t>
      </w:r>
      <w:r w:rsidRPr="00FF655F">
        <w:t>by the City Council of the City of Valley Grande (the "Granting Authority"), as follows:</w:t>
      </w:r>
    </w:p>
    <w:p w14:paraId="7F7E62EA" w14:textId="77777777" w:rsidR="00FF655F" w:rsidRPr="00FF655F" w:rsidRDefault="00FF655F" w:rsidP="00FF655F">
      <w:pPr>
        <w:pStyle w:val="BodyText"/>
        <w:spacing w:before="6" w:line="360" w:lineRule="auto"/>
      </w:pPr>
    </w:p>
    <w:p w14:paraId="2EA5B0E8" w14:textId="77777777" w:rsidR="00FF655F" w:rsidRPr="00FF655F" w:rsidRDefault="00FF655F" w:rsidP="00FF655F">
      <w:pPr>
        <w:pStyle w:val="BodyText"/>
        <w:spacing w:before="91" w:line="360" w:lineRule="auto"/>
        <w:jc w:val="both"/>
      </w:pPr>
      <w:r w:rsidRPr="00FF655F">
        <w:rPr>
          <w:u w:val="thick"/>
        </w:rPr>
        <w:t>Section 1</w:t>
      </w:r>
      <w:r w:rsidRPr="00FF655F">
        <w:t>. The Granting Authority does hereby find,  declare  and  ascertain as follows: that Dallas County Solar, LLC, a Delaware limited liability company (the "Company"), is considering the leasing, development, equipping,  and installation of a new solar photovoltaic generating facility located on those certain parcels of land in Dallas County, Alabama (the "County") described on Exhibit A to the application attached hereto, a portion of which are located inside the corporate limits and/or police jurisdiction of the City of Valley Grande (the "City", and such project, the "Project"); that the Project would promote trade and commerce in the State of Alabama, and in the jurisdiction of the Granting Authority and surrounding areas; that it is desirable and appropriate for the Granting Authority to consent to the abatement of certain City</w:t>
      </w:r>
      <w:r w:rsidRPr="00FF655F">
        <w:rPr>
          <w:spacing w:val="-27"/>
        </w:rPr>
        <w:t xml:space="preserve"> </w:t>
      </w:r>
      <w:r w:rsidRPr="00FF655F">
        <w:t>sales</w:t>
      </w:r>
    </w:p>
    <w:p w14:paraId="25807E8A" w14:textId="43A981A3" w:rsidR="00FF655F" w:rsidRDefault="00FF655F" w:rsidP="00FF655F">
      <w:pPr>
        <w:pStyle w:val="BodyText"/>
        <w:spacing w:before="79" w:line="360" w:lineRule="auto"/>
        <w:jc w:val="both"/>
      </w:pPr>
      <w:r w:rsidRPr="00FF655F">
        <w:t xml:space="preserve">and use taxes by the County with respect to the Project, pursuant to Chapter 9B of Title 40 of the </w:t>
      </w:r>
      <w:r w:rsidRPr="00FF655F">
        <w:rPr>
          <w:u w:val="thick"/>
        </w:rPr>
        <w:t>Code of Alabama</w:t>
      </w:r>
      <w:r w:rsidRPr="00FF655F">
        <w:t xml:space="preserve"> (1975), as amended (herein called the "Tax Abatement Act") as provided in the "Application to Granting Authority for Abatement of Taxes" presented to the meeting at which this resolution is adopted (such application is attached hereto as </w:t>
      </w:r>
      <w:r w:rsidRPr="00FF655F">
        <w:rPr>
          <w:u w:val="thick"/>
        </w:rPr>
        <w:t>Exhibit A</w:t>
      </w:r>
      <w:r w:rsidRPr="00FF655F">
        <w:t xml:space="preserve"> and made a part of this resolution as if fully and completely set forth herein); and therefore it is desirable and appropriate for the Granting Authority to consent to the granting of said tax</w:t>
      </w:r>
      <w:r w:rsidRPr="00FF655F">
        <w:rPr>
          <w:spacing w:val="-6"/>
        </w:rPr>
        <w:t xml:space="preserve"> </w:t>
      </w:r>
      <w:r w:rsidRPr="00FF655F">
        <w:t>abatements.</w:t>
      </w:r>
    </w:p>
    <w:p w14:paraId="58DF23FA" w14:textId="77777777" w:rsidR="00FF655F" w:rsidRPr="00FF655F" w:rsidRDefault="00FF655F" w:rsidP="00FF655F">
      <w:pPr>
        <w:pStyle w:val="BodyText"/>
        <w:spacing w:before="79" w:line="360" w:lineRule="auto"/>
        <w:jc w:val="both"/>
      </w:pPr>
    </w:p>
    <w:p w14:paraId="4D8327D5" w14:textId="03741EE4" w:rsidR="00FF655F" w:rsidRDefault="00FF655F" w:rsidP="00FF655F">
      <w:pPr>
        <w:pStyle w:val="BodyText"/>
        <w:spacing w:line="360" w:lineRule="auto"/>
        <w:jc w:val="both"/>
      </w:pPr>
      <w:r w:rsidRPr="00FF655F">
        <w:rPr>
          <w:u w:val="thick"/>
        </w:rPr>
        <w:t>Section 2</w:t>
      </w:r>
      <w:r w:rsidRPr="00FF655F">
        <w:t xml:space="preserve">. </w:t>
      </w:r>
      <w:r w:rsidRPr="00FF655F">
        <w:rPr>
          <w:position w:val="1"/>
        </w:rPr>
        <w:t xml:space="preserve">Pursuant to the provisions of the Tax Abatement Act, and </w:t>
      </w:r>
      <w:r w:rsidRPr="00FF655F">
        <w:t>specifically Alabama Code § 40-9B-5(b), the Granting Authority hereby consents to the County granting to the Company abatements of the City's Construction Related Transaction Taxes associated with the Project to the fullest extent allowed under the Tax Abatement Act. The term "Construction Related Transaction Taxes" shall have the same meaning herein as in the Tax Abatement Act.</w:t>
      </w:r>
    </w:p>
    <w:p w14:paraId="18D1C7FA" w14:textId="77777777" w:rsidR="00FF655F" w:rsidRPr="00FF655F" w:rsidRDefault="00FF655F" w:rsidP="00FF655F">
      <w:pPr>
        <w:pStyle w:val="BodyText"/>
        <w:spacing w:line="360" w:lineRule="auto"/>
        <w:jc w:val="both"/>
      </w:pPr>
    </w:p>
    <w:p w14:paraId="3B9BFCF5" w14:textId="42F18FAC" w:rsidR="00FF655F" w:rsidRDefault="00FF655F" w:rsidP="00FF655F">
      <w:pPr>
        <w:pStyle w:val="BodyText"/>
        <w:spacing w:line="360" w:lineRule="auto"/>
        <w:jc w:val="both"/>
      </w:pPr>
      <w:r w:rsidRPr="00FF655F">
        <w:rPr>
          <w:u w:val="thick"/>
        </w:rPr>
        <w:t>Section 3</w:t>
      </w:r>
      <w:r w:rsidRPr="00FF655F">
        <w:t xml:space="preserve">. </w:t>
      </w:r>
      <w:r w:rsidRPr="00FF655F">
        <w:rPr>
          <w:u w:val="thick"/>
        </w:rPr>
        <w:t>General Authorization</w:t>
      </w:r>
      <w:r w:rsidRPr="00FF655F">
        <w:t xml:space="preserve">. The Mayor and the Clerk are hereby further authorized and directed to execute, deliver, seal, and attest such other ancillary documents and certificates as may </w:t>
      </w:r>
      <w:r w:rsidRPr="00FF655F">
        <w:lastRenderedPageBreak/>
        <w:t>be necessary to effect the transaction authorized by this resolution, and their signatures thereon shall be conclusive  evidence of the due exercise of this</w:t>
      </w:r>
      <w:r w:rsidRPr="00FF655F">
        <w:rPr>
          <w:spacing w:val="-4"/>
        </w:rPr>
        <w:t xml:space="preserve"> </w:t>
      </w:r>
      <w:r w:rsidRPr="00FF655F">
        <w:t>authority.</w:t>
      </w:r>
    </w:p>
    <w:p w14:paraId="482188C2" w14:textId="77777777" w:rsidR="00FF655F" w:rsidRPr="00FF655F" w:rsidRDefault="00FF655F" w:rsidP="00FF655F">
      <w:pPr>
        <w:pStyle w:val="BodyText"/>
        <w:spacing w:line="360" w:lineRule="auto"/>
        <w:jc w:val="both"/>
      </w:pPr>
    </w:p>
    <w:p w14:paraId="6A441007" w14:textId="73FAAC03" w:rsidR="00FF655F" w:rsidRPr="00FF655F" w:rsidRDefault="00FF655F" w:rsidP="00FF655F">
      <w:pPr>
        <w:pStyle w:val="BodyText"/>
        <w:spacing w:line="360" w:lineRule="auto"/>
        <w:jc w:val="both"/>
      </w:pPr>
      <w:r w:rsidRPr="00FF655F">
        <w:rPr>
          <w:u w:val="thick"/>
        </w:rPr>
        <w:t>Section 4</w:t>
      </w:r>
      <w:r w:rsidRPr="00FF655F">
        <w:t xml:space="preserve">. </w:t>
      </w:r>
      <w:r w:rsidRPr="00FF655F">
        <w:rPr>
          <w:u w:val="thick"/>
        </w:rPr>
        <w:t>Severability Provisions.</w:t>
      </w:r>
      <w:r w:rsidRPr="00FF655F">
        <w:t xml:space="preserve"> The various provisions of this resolution are hereby declared to be severable. In the event any provision hereof shall be held invalid by a court of competent jurisdiction, such invalidity shall not affect any other portion of this resolution.</w:t>
      </w:r>
    </w:p>
    <w:p w14:paraId="72A5EC98" w14:textId="77777777" w:rsidR="00FF655F" w:rsidRPr="00FF655F" w:rsidRDefault="00FF655F" w:rsidP="00FF655F">
      <w:pPr>
        <w:pStyle w:val="BodyText"/>
        <w:spacing w:line="360" w:lineRule="auto"/>
        <w:jc w:val="both"/>
      </w:pPr>
    </w:p>
    <w:p w14:paraId="0E8AF4E4" w14:textId="0F1A2D76" w:rsidR="00FF655F" w:rsidRPr="00FF655F" w:rsidRDefault="00FF655F" w:rsidP="00FF655F">
      <w:pPr>
        <w:spacing w:line="360" w:lineRule="auto"/>
        <w:rPr>
          <w:rFonts w:ascii="Times New Roman" w:hAnsi="Times New Roman" w:cs="Times New Roman"/>
          <w:sz w:val="24"/>
          <w:szCs w:val="24"/>
        </w:rPr>
      </w:pPr>
      <w:r w:rsidRPr="00FF655F">
        <w:rPr>
          <w:rFonts w:ascii="Times New Roman" w:hAnsi="Times New Roman" w:cs="Times New Roman"/>
          <w:sz w:val="24"/>
          <w:szCs w:val="24"/>
          <w:u w:val="thick"/>
        </w:rPr>
        <w:t>Section 5</w:t>
      </w:r>
      <w:r w:rsidRPr="00FF655F">
        <w:rPr>
          <w:rFonts w:ascii="Times New Roman" w:hAnsi="Times New Roman" w:cs="Times New Roman"/>
          <w:sz w:val="24"/>
          <w:szCs w:val="24"/>
        </w:rPr>
        <w:t xml:space="preserve">. </w:t>
      </w:r>
      <w:r w:rsidRPr="00FF655F">
        <w:rPr>
          <w:rFonts w:ascii="Times New Roman" w:hAnsi="Times New Roman" w:cs="Times New Roman"/>
          <w:sz w:val="24"/>
          <w:szCs w:val="24"/>
          <w:u w:val="thick"/>
        </w:rPr>
        <w:t>Contract.</w:t>
      </w:r>
      <w:r w:rsidRPr="00FF655F">
        <w:rPr>
          <w:rFonts w:ascii="Times New Roman" w:hAnsi="Times New Roman" w:cs="Times New Roman"/>
          <w:sz w:val="24"/>
          <w:szCs w:val="24"/>
        </w:rPr>
        <w:t xml:space="preserve"> The terms of this resolution shall be deemed a contract with the </w:t>
      </w:r>
      <w:r w:rsidRPr="00FF655F">
        <w:rPr>
          <w:rFonts w:ascii="Times New Roman" w:hAnsi="Times New Roman" w:cs="Times New Roman"/>
          <w:sz w:val="24"/>
          <w:szCs w:val="24"/>
        </w:rPr>
        <w:t>Company and</w:t>
      </w:r>
      <w:r w:rsidRPr="00FF655F">
        <w:rPr>
          <w:rFonts w:ascii="Times New Roman" w:hAnsi="Times New Roman" w:cs="Times New Roman"/>
          <w:sz w:val="24"/>
          <w:szCs w:val="24"/>
        </w:rPr>
        <w:t xml:space="preserve"> may not be rescinded or amended by the Granting Authority without the express, written consent of the</w:t>
      </w:r>
      <w:r w:rsidRPr="00FF655F">
        <w:rPr>
          <w:rFonts w:ascii="Times New Roman" w:hAnsi="Times New Roman" w:cs="Times New Roman"/>
          <w:spacing w:val="-19"/>
          <w:sz w:val="24"/>
          <w:szCs w:val="24"/>
        </w:rPr>
        <w:t xml:space="preserve"> </w:t>
      </w:r>
      <w:r w:rsidRPr="00FF655F">
        <w:rPr>
          <w:rFonts w:ascii="Times New Roman" w:hAnsi="Times New Roman" w:cs="Times New Roman"/>
          <w:sz w:val="24"/>
          <w:szCs w:val="24"/>
        </w:rPr>
        <w:t>Company</w:t>
      </w:r>
      <w:r w:rsidRPr="00FF655F">
        <w:rPr>
          <w:rFonts w:ascii="Times New Roman" w:hAnsi="Times New Roman" w:cs="Times New Roman"/>
          <w:sz w:val="24"/>
          <w:szCs w:val="24"/>
        </w:rPr>
        <w:t>.</w:t>
      </w:r>
    </w:p>
    <w:p w14:paraId="1D1AF320"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r w:rsidRPr="00FF655F">
        <w:rPr>
          <w:rFonts w:ascii="Times New Roman" w:eastAsia="Times New Roman" w:hAnsi="Times New Roman" w:cs="Times New Roman"/>
          <w:sz w:val="24"/>
          <w:szCs w:val="24"/>
        </w:rPr>
        <w:t xml:space="preserve">Adopted on this _______ day of </w:t>
      </w:r>
      <w:proofErr w:type="gramStart"/>
      <w:r w:rsidRPr="00FF655F">
        <w:rPr>
          <w:rFonts w:ascii="Times New Roman" w:eastAsia="Times New Roman" w:hAnsi="Times New Roman" w:cs="Times New Roman"/>
          <w:sz w:val="24"/>
          <w:szCs w:val="24"/>
        </w:rPr>
        <w:t>May,</w:t>
      </w:r>
      <w:proofErr w:type="gramEnd"/>
      <w:r w:rsidRPr="00FF655F">
        <w:rPr>
          <w:rFonts w:ascii="Times New Roman" w:eastAsia="Times New Roman" w:hAnsi="Times New Roman" w:cs="Times New Roman"/>
          <w:sz w:val="24"/>
          <w:szCs w:val="24"/>
        </w:rPr>
        <w:t xml:space="preserve"> 2019.</w:t>
      </w:r>
    </w:p>
    <w:p w14:paraId="2DEDCBF2"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p>
    <w:p w14:paraId="16B5DB08"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p>
    <w:p w14:paraId="59A08CC2"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p>
    <w:p w14:paraId="7F44D9EC"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p>
    <w:p w14:paraId="0F691EB6"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t>By:  ___________________________</w:t>
      </w:r>
    </w:p>
    <w:p w14:paraId="4ECBD5DA"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t>Matt Dobbs, Mayor</w:t>
      </w:r>
    </w:p>
    <w:p w14:paraId="7CD7ECB3"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p>
    <w:p w14:paraId="02A08D6F"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p>
    <w:p w14:paraId="645E9F48"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r w:rsidRPr="00FF655F">
        <w:rPr>
          <w:rFonts w:ascii="Times New Roman" w:eastAsia="Times New Roman" w:hAnsi="Times New Roman" w:cs="Times New Roman"/>
          <w:sz w:val="24"/>
          <w:szCs w:val="24"/>
        </w:rPr>
        <w:t>ATTESTED:  ________________________</w:t>
      </w:r>
    </w:p>
    <w:p w14:paraId="1D1183B3" w14:textId="77777777" w:rsidR="00FF655F" w:rsidRPr="00FF655F" w:rsidRDefault="00FF655F" w:rsidP="00FF655F">
      <w:pPr>
        <w:spacing w:after="0" w:line="240" w:lineRule="auto"/>
        <w:jc w:val="both"/>
        <w:rPr>
          <w:rFonts w:ascii="Times New Roman" w:eastAsia="Times New Roman" w:hAnsi="Times New Roman" w:cs="Times New Roman"/>
          <w:sz w:val="24"/>
          <w:szCs w:val="24"/>
        </w:rPr>
      </w:pPr>
      <w:r w:rsidRPr="00FF655F">
        <w:rPr>
          <w:rFonts w:ascii="Times New Roman" w:eastAsia="Times New Roman" w:hAnsi="Times New Roman" w:cs="Times New Roman"/>
          <w:sz w:val="24"/>
          <w:szCs w:val="24"/>
        </w:rPr>
        <w:tab/>
      </w:r>
      <w:r w:rsidRPr="00FF655F">
        <w:rPr>
          <w:rFonts w:ascii="Times New Roman" w:eastAsia="Times New Roman" w:hAnsi="Times New Roman" w:cs="Times New Roman"/>
          <w:sz w:val="24"/>
          <w:szCs w:val="24"/>
        </w:rPr>
        <w:tab/>
        <w:t>Janet Frasier, City Clerk</w:t>
      </w:r>
    </w:p>
    <w:p w14:paraId="7CD951CE" w14:textId="77777777" w:rsidR="00FF655F" w:rsidRPr="00FF655F" w:rsidRDefault="00FF655F" w:rsidP="00FF655F">
      <w:pPr>
        <w:spacing w:line="360" w:lineRule="auto"/>
        <w:rPr>
          <w:rFonts w:ascii="Times New Roman" w:hAnsi="Times New Roman" w:cs="Times New Roman"/>
        </w:rPr>
      </w:pPr>
    </w:p>
    <w:sectPr w:rsidR="00FF655F" w:rsidRPr="00FF6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5F"/>
    <w:rsid w:val="00504961"/>
    <w:rsid w:val="00A4434B"/>
    <w:rsid w:val="00B96284"/>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ECB9"/>
  <w15:chartTrackingRefBased/>
  <w15:docId w15:val="{A492D9EA-3A18-42B2-8244-509B2643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655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65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1</cp:revision>
  <cp:lastPrinted>2019-05-30T19:55:00Z</cp:lastPrinted>
  <dcterms:created xsi:type="dcterms:W3CDTF">2019-05-30T19:45:00Z</dcterms:created>
  <dcterms:modified xsi:type="dcterms:W3CDTF">2019-05-30T19:56:00Z</dcterms:modified>
</cp:coreProperties>
</file>